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40" w:lineRule="auto"/>
        <w:jc w:val="right"/>
        <w:rPr>
          <w:rFonts w:ascii="Corbel" w:cs="Corbel" w:eastAsia="Corbel" w:hAnsi="Corbel"/>
          <w:i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  </w:t>
        <w:tab/>
        <w:tab/>
        <w:tab/>
        <w:tab/>
        <w:tab/>
        <w:tab/>
      </w:r>
      <w:r w:rsidDel="00000000" w:rsidR="00000000" w:rsidRPr="00000000">
        <w:rPr>
          <w:rFonts w:ascii="Corbel" w:cs="Corbel" w:eastAsia="Corbel" w:hAnsi="Corbel"/>
          <w:i w:val="1"/>
          <w:rtl w:val="0"/>
        </w:rPr>
        <w:t xml:space="preserve">Załącznik nr 1.5 do Zarządzenia Rektora UR  nr 12/2019</w:t>
      </w:r>
    </w:p>
    <w:p w:rsidR="00000000" w:rsidDel="00000000" w:rsidP="00000000" w:rsidRDefault="00000000" w:rsidRPr="00000000" w14:paraId="00000002">
      <w:pPr>
        <w:spacing w:line="240" w:lineRule="auto"/>
        <w:jc w:val="right"/>
        <w:rPr>
          <w:rFonts w:ascii="Corbel" w:cs="Corbel" w:eastAsia="Corbel" w:hAnsi="Corbel"/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Corbel" w:cs="Corbel" w:eastAsia="Corbel" w:hAnsi="Corbel"/>
          <w:b w:val="1"/>
          <w:smallCaps w:val="1"/>
          <w:sz w:val="24"/>
          <w:szCs w:val="24"/>
        </w:rPr>
      </w:pPr>
      <w:r w:rsidDel="00000000" w:rsidR="00000000" w:rsidRPr="00000000">
        <w:rPr>
          <w:rFonts w:ascii="Corbel" w:cs="Corbel" w:eastAsia="Corbel" w:hAnsi="Corbel"/>
          <w:b w:val="1"/>
          <w:smallCaps w:val="1"/>
          <w:sz w:val="24"/>
          <w:szCs w:val="24"/>
          <w:rtl w:val="0"/>
        </w:rPr>
        <w:t xml:space="preserve">SYLABUS</w:t>
      </w:r>
    </w:p>
    <w:p w:rsidR="00000000" w:rsidDel="00000000" w:rsidP="00000000" w:rsidRDefault="00000000" w:rsidRPr="00000000" w14:paraId="00000004">
      <w:pPr>
        <w:spacing w:after="0" w:line="240" w:lineRule="auto"/>
        <w:jc w:val="center"/>
        <w:rPr>
          <w:rFonts w:ascii="Corbel" w:cs="Corbel" w:eastAsia="Corbel" w:hAnsi="Corbel"/>
          <w:b w:val="1"/>
          <w:smallCaps w:val="1"/>
          <w:sz w:val="24"/>
          <w:szCs w:val="24"/>
        </w:rPr>
      </w:pPr>
      <w:r w:rsidDel="00000000" w:rsidR="00000000" w:rsidRPr="00000000">
        <w:rPr>
          <w:rFonts w:ascii="Corbel" w:cs="Corbel" w:eastAsia="Corbel" w:hAnsi="Corbel"/>
          <w:b w:val="1"/>
          <w:smallCaps w:val="1"/>
          <w:sz w:val="24"/>
          <w:szCs w:val="24"/>
          <w:rtl w:val="0"/>
        </w:rPr>
        <w:t xml:space="preserve">dotyczy cyklu kształcenia od roku 2025/2026</w:t>
      </w:r>
    </w:p>
    <w:p w:rsidR="00000000" w:rsidDel="00000000" w:rsidP="00000000" w:rsidRDefault="00000000" w:rsidRPr="00000000" w14:paraId="00000005">
      <w:pPr>
        <w:spacing w:after="0" w:line="240" w:lineRule="auto"/>
        <w:jc w:val="center"/>
        <w:rPr>
          <w:rFonts w:ascii="Corbel" w:cs="Corbel" w:eastAsia="Corbel" w:hAnsi="Corbel"/>
          <w:b w:val="1"/>
          <w:smallCap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jc w:val="both"/>
        <w:rPr>
          <w:rFonts w:ascii="Corbel" w:cs="Corbel" w:eastAsia="Corbel" w:hAnsi="Corbel"/>
          <w:i w:val="1"/>
          <w:smallCaps w:val="1"/>
        </w:rPr>
      </w:pPr>
      <w:r w:rsidDel="00000000" w:rsidR="00000000" w:rsidRPr="00000000">
        <w:rPr>
          <w:rFonts w:ascii="Corbel" w:cs="Corbel" w:eastAsia="Corbel" w:hAnsi="Corbel"/>
          <w:sz w:val="20"/>
          <w:szCs w:val="20"/>
          <w:rtl w:val="0"/>
        </w:rPr>
        <w:tab/>
        <w:tab/>
        <w:tab/>
        <w:tab/>
        <w:t xml:space="preserve">Rok akademicki 2025/26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jc w:val="both"/>
        <w:rPr>
          <w:rFonts w:ascii="Corbel" w:cs="Corbel" w:eastAsia="Corbel" w:hAnsi="Corbel"/>
          <w:sz w:val="20"/>
          <w:szCs w:val="20"/>
        </w:rPr>
      </w:pPr>
      <w:r w:rsidDel="00000000" w:rsidR="00000000" w:rsidRPr="00000000">
        <w:rPr>
          <w:rFonts w:ascii="Corbel" w:cs="Corbel" w:eastAsia="Corbel" w:hAnsi="Corbel"/>
          <w:sz w:val="20"/>
          <w:szCs w:val="20"/>
          <w:rtl w:val="0"/>
        </w:rPr>
        <w:tab/>
        <w:tab/>
        <w:tab/>
        <w:tab/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Corbel" w:cs="Corbel" w:eastAsia="Corbel" w:hAnsi="Corbe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70c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Podstawowe informacje o przedmiocie</w:t>
      </w:r>
      <w:r w:rsidDel="00000000" w:rsidR="00000000" w:rsidRPr="00000000">
        <w:rPr>
          <w:rtl w:val="0"/>
        </w:rPr>
      </w:r>
    </w:p>
    <w:tbl>
      <w:tblPr>
        <w:tblStyle w:val="Table1"/>
        <w:tblW w:w="9781.0" w:type="dxa"/>
        <w:jc w:val="left"/>
        <w:tblInd w:w="-3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694"/>
        <w:gridCol w:w="7087"/>
        <w:tblGridChange w:id="0">
          <w:tblGrid>
            <w:gridCol w:w="2694"/>
            <w:gridCol w:w="7087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Nazwa przedmiotu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Współczesna trendy muzyki rozrywkowej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Kod przedmiotu*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C5/JII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nazwa jednostki prowadzącej kierunek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Wydział Muzyki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Nazwa jednostki realizującej przedmiot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Wydział Muzyki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Kierunek studiów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Jazz i muzyka rozrywkowa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Poziom studiów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II stopień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Profil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praktyczny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Forma studiów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stacjonarne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Rok i semestr/y studiów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II rok</w:t>
            </w: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 -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3,4 semestr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Rodzaj przedmiotu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kierunkowy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Język wykładowy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polski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Koordynator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dr Tomasz Nowak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Imię i nazwisko osoby prowadzącej / osób prowadzących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dr Tomasz Nowak / mgr Tomasz Mucha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280" w:before="280" w:line="240" w:lineRule="auto"/>
        <w:ind w:left="0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* </w:t>
      </w:r>
      <w:r w:rsidDel="00000000" w:rsidR="00000000" w:rsidRPr="00000000">
        <w:rPr>
          <w:rFonts w:ascii="Corbel" w:cs="Corbel" w:eastAsia="Corbel" w:hAnsi="Corbel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opcjonalni</w:t>
      </w: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e,</w:t>
      </w:r>
      <w:r w:rsidDel="00000000" w:rsidR="00000000" w:rsidRPr="00000000">
        <w:rPr>
          <w:rFonts w:ascii="Corbel" w:cs="Corbel" w:eastAsia="Corbel" w:hAnsi="Corbel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zgodnie z ustaleniami w Jednostce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284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1.1.Formy zajęć dydaktycznych, wymiar godzin i punktów ECTS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62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  <w:tblGridChange w:id="0">
          <w:tblGrid>
            <w:gridCol w:w="1049"/>
            <w:gridCol w:w="913"/>
            <w:gridCol w:w="788"/>
            <w:gridCol w:w="851"/>
            <w:gridCol w:w="801"/>
            <w:gridCol w:w="821"/>
            <w:gridCol w:w="763"/>
            <w:gridCol w:w="948"/>
            <w:gridCol w:w="1189"/>
            <w:gridCol w:w="150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Semestr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(nr)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Wykł.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Konw.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Lab.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Sem.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ZP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Prakt.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Inne (jakie?)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Liczba pkt. ECTS</w:t>
            </w:r>
          </w:p>
        </w:tc>
      </w:tr>
      <w:tr>
        <w:trPr>
          <w:cantSplit w:val="0"/>
          <w:trHeight w:val="45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360" w:right="0" w:firstLine="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0" w:before="0" w:line="240" w:lineRule="auto"/>
        <w:ind w:left="284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1.2.</w:t>
        <w:tab/>
        <w:t xml:space="preserve">Sposób realizacji zajęć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MS Gothic" w:cs="MS Gothic" w:eastAsia="MS Gothic" w:hAnsi="MS Gothic"/>
          <w:b w:val="0"/>
          <w:i w:val="0"/>
          <w:smallCaps w:val="1"/>
          <w:strike w:val="1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zajęcia w formie tradycyjnej 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MS Gothic" w:cs="MS Gothic" w:eastAsia="MS Gothic" w:hAnsi="MS Gothic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☐</w:t>
      </w: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zajęcia realizowane z wykorzystaniem metod i technik kształcenia na odległość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dopuszcza się zmianę sposobu realizacji zajęć w związku z niestabilną sytuacją epidemiczną.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0" w:before="0" w:line="240" w:lineRule="auto"/>
        <w:ind w:left="709" w:right="0" w:hanging="425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1.3 </w:t>
        <w:tab/>
        <w:t xml:space="preserve">Forma zaliczenia przedmiotu  (z toku) </w:t>
      </w: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(egzamin, zaliczenie z oceną, zaliczenie bez oceny)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0" w:before="0" w:line="240" w:lineRule="auto"/>
        <w:ind w:left="709" w:right="0" w:hanging="425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0" w:before="0" w:line="240" w:lineRule="auto"/>
        <w:ind w:left="709" w:right="0" w:hanging="425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 </w:t>
      </w: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semestr – zaliczenie 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0" w:before="0" w:line="240" w:lineRule="auto"/>
        <w:ind w:left="709" w:right="0" w:hanging="425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 </w:t>
      </w: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semestr</w:t>
      </w: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– </w:t>
      </w: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zaliczenie z oceną,</w:t>
      </w: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egzamin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0" w:before="0" w:line="240" w:lineRule="auto"/>
        <w:ind w:left="709" w:right="0" w:hanging="425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2.Wymagania wstępne </w:t>
      </w:r>
    </w:p>
    <w:tbl>
      <w:tblPr>
        <w:tblStyle w:val="Table3"/>
        <w:tblW w:w="952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520"/>
        <w:tblGridChange w:id="0">
          <w:tblGrid>
            <w:gridCol w:w="952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Wiedza z zakresu znajomości historii muzyki rozrywkowej z poziomu studiów I stopnia. Znajomość stylów, gatunków i ich przedstawicieli. </w:t>
            </w:r>
          </w:p>
        </w:tc>
      </w:tr>
    </w:tbl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cele, efekty uczenia się , treści Programowe i stosowane metody Dydaktyczne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360" w:right="0" w:firstLine="0"/>
        <w:jc w:val="both"/>
        <w:rPr>
          <w:rFonts w:ascii="Corbel" w:cs="Corbel" w:eastAsia="Corbel" w:hAnsi="Corbe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360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3.1 Cele przedmiotu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360" w:right="0" w:firstLine="0"/>
        <w:jc w:val="both"/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52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43"/>
        <w:gridCol w:w="8677"/>
        <w:tblGridChange w:id="0">
          <w:tblGrid>
            <w:gridCol w:w="843"/>
            <w:gridCol w:w="8677"/>
          </w:tblGrid>
        </w:tblGridChange>
      </w:tblGrid>
      <w:tr>
        <w:trPr>
          <w:cantSplit w:val="0"/>
          <w:trHeight w:val="113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C1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Rozwijanie wiedzy nabytej na studiach I stopnia o aktualne trendy w muzyce rozrywkowej. Zastosowanie wiedzy z zakresu współczesnej muzyki rozrywkowej w kreowaniu własnej osobowości artystycznej.  </w:t>
            </w:r>
          </w:p>
        </w:tc>
      </w:tr>
    </w:tbl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pacing w:after="0" w:line="240" w:lineRule="auto"/>
        <w:ind w:left="426" w:firstLine="0"/>
        <w:rPr>
          <w:rFonts w:ascii="Corbel" w:cs="Corbel" w:eastAsia="Corbel" w:hAnsi="Corbe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after="0" w:line="240" w:lineRule="auto"/>
        <w:ind w:left="426" w:firstLine="0"/>
        <w:rPr>
          <w:rFonts w:ascii="Corbel" w:cs="Corbel" w:eastAsia="Corbel" w:hAnsi="Corbel"/>
          <w:sz w:val="24"/>
          <w:szCs w:val="24"/>
        </w:rPr>
      </w:pPr>
      <w:r w:rsidDel="00000000" w:rsidR="00000000" w:rsidRPr="00000000">
        <w:rPr>
          <w:rFonts w:ascii="Corbel" w:cs="Corbel" w:eastAsia="Corbel" w:hAnsi="Corbel"/>
          <w:b w:val="1"/>
          <w:sz w:val="24"/>
          <w:szCs w:val="24"/>
          <w:rtl w:val="0"/>
        </w:rPr>
        <w:t xml:space="preserve">3.2 Efekty uczenia się dla przedmiotu</w:t>
      </w:r>
      <w:r w:rsidDel="00000000" w:rsidR="00000000" w:rsidRPr="00000000">
        <w:rPr>
          <w:rFonts w:ascii="Corbel" w:cs="Corbel" w:eastAsia="Corbel" w:hAnsi="Corbel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62">
      <w:pPr>
        <w:spacing w:after="0" w:line="240" w:lineRule="auto"/>
        <w:rPr>
          <w:rFonts w:ascii="Corbel" w:cs="Corbel" w:eastAsia="Corbel" w:hAnsi="Corbel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52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679"/>
        <w:gridCol w:w="5976"/>
        <w:gridCol w:w="1865"/>
        <w:tblGridChange w:id="0">
          <w:tblGrid>
            <w:gridCol w:w="1679"/>
            <w:gridCol w:w="5976"/>
            <w:gridCol w:w="1865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(efekt uczenia się)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Treść efektu uczenia się zdefiniowanego dla przedmiotu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Odniesienie do efektów  kierunkowych 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</w:rPr>
              <w:footnoteReference w:customMarkFollows="0" w:id="0"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EK_01</w:t>
            </w:r>
          </w:p>
        </w:tc>
        <w:tc>
          <w:tcPr/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Zna historię muzyki rozrywkowej w kontekście historycznym i kulturowym, rozumie jej interdyscyplinarne związki i masowy charakter. </w:t>
            </w:r>
          </w:p>
        </w:tc>
        <w:tc>
          <w:tcPr/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K_W02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EK_02</w:t>
            </w:r>
          </w:p>
        </w:tc>
        <w:tc>
          <w:tcPr/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Zna różnice charakteryzujące style, rozumie zależności pomiędzy nimi.</w:t>
            </w:r>
          </w:p>
        </w:tc>
        <w:tc>
          <w:tcPr/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K_W04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EK_03</w:t>
            </w:r>
          </w:p>
        </w:tc>
        <w:tc>
          <w:tcPr/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Potrafi praktycznie wykorzystać wiedzę z wybranego zakresu historii muzyki rozrywkowej do tworzenia własnej prezentacji artystycznej.</w:t>
            </w:r>
          </w:p>
        </w:tc>
        <w:tc>
          <w:tcPr/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K_U03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EK_04</w:t>
            </w:r>
          </w:p>
        </w:tc>
        <w:tc>
          <w:tcPr/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Potrafi wykorzystać dostępne źródła wiedzy, zgromadzić niezbędne informacje do ustnej lub pisemnej prezentacji tematycznej.</w:t>
            </w:r>
          </w:p>
        </w:tc>
        <w:tc>
          <w:tcPr/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K_U09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EK_05</w:t>
            </w:r>
          </w:p>
        </w:tc>
        <w:tc>
          <w:tcPr/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Potrafi korzystać z posiadanej wiedzy oraz dostępnych źródeł w celu doskonalenia i rozwoju własnej osobowości artystycznej.</w:t>
            </w:r>
          </w:p>
        </w:tc>
        <w:tc>
          <w:tcPr/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K_U12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EK_06</w:t>
            </w:r>
          </w:p>
        </w:tc>
        <w:tc>
          <w:tcPr/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Jest gotów pełnić rolę dojrzałego artysty wykorzystując w pełni zdobytą wiedzę na kierunku Jazz i Muzyka Rozrywkowa</w:t>
            </w:r>
          </w:p>
        </w:tc>
        <w:tc>
          <w:tcPr/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K_K02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EK_07</w:t>
            </w:r>
          </w:p>
        </w:tc>
        <w:tc>
          <w:tcPr/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Potrafi wykorzystywać technologie informacyjne podczas tworzenia projektów artystycznych</w:t>
            </w:r>
          </w:p>
        </w:tc>
        <w:tc>
          <w:tcPr/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K_K03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EK_08</w:t>
            </w:r>
          </w:p>
        </w:tc>
        <w:tc>
          <w:tcPr/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Jest gotów wykorzystać wiedzę, własne zdanie, korzystać z konstruktywnej krytyki w tworzeniu opinii na tematy muzyczne.</w:t>
            </w:r>
          </w:p>
        </w:tc>
        <w:tc>
          <w:tcPr/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K_K06</w:t>
            </w:r>
          </w:p>
        </w:tc>
      </w:tr>
    </w:tbl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both"/>
        <w:rPr>
          <w:rFonts w:ascii="Corbel" w:cs="Corbel" w:eastAsia="Corbel" w:hAnsi="Corbe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3.3 Treści programowe </w:t>
      </w: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Problematyka wykładu 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080" w:right="0" w:firstLine="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52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520"/>
        <w:tblGridChange w:id="0">
          <w:tblGrid>
            <w:gridCol w:w="952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50" w:right="0" w:firstLine="25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Treści merytoryczne</w:t>
            </w:r>
          </w:p>
        </w:tc>
      </w:tr>
      <w:tr>
        <w:trPr>
          <w:cantSplit w:val="0"/>
          <w:trHeight w:val="899" w:hRule="atLeast"/>
          <w:tblHeader w:val="0"/>
        </w:trPr>
        <w:tc>
          <w:tcPr/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rtl w:val="0"/>
              </w:rPr>
              <w:t xml:space="preserve">Treści programowe oparte są na swobodnym poruszaniu się w obrębie gatunków i stylów wykonawczych muzyki rozrywkowej z uwzględnieniem aktualnych, najnowszych trendów i tendencji. Polska muzyka rozrywkowa, wpływy i rodzime akcenty. Analiza współczesnej, muzycznej rzeczywistości ma podstawie dostępnych materiałów audio-video. </w:t>
            </w:r>
          </w:p>
        </w:tc>
      </w:tr>
    </w:tbl>
    <w:p w:rsidR="00000000" w:rsidDel="00000000" w:rsidP="00000000" w:rsidRDefault="00000000" w:rsidRPr="00000000" w14:paraId="00000085">
      <w:pPr>
        <w:spacing w:after="0" w:line="240" w:lineRule="auto"/>
        <w:rPr>
          <w:rFonts w:ascii="Corbel" w:cs="Corbel" w:eastAsia="Corbel" w:hAnsi="Corbe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Problematyka ćwiczeń audytoryjnych, konwersatoryjnych, laboratoryjnych, zajęć praktycznych 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72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52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520"/>
        <w:tblGridChange w:id="0">
          <w:tblGrid>
            <w:gridCol w:w="952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8" w:right="0" w:hanging="708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Treści merytoryczne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3.4 Metody dydaktyczne</w:t>
      </w: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wykład problemowy, wykład z prezentacją multimedialną</w:t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Np</w:t>
      </w:r>
      <w:r w:rsidDel="00000000" w:rsidR="00000000" w:rsidRPr="00000000"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.: </w:t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1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Wykład: wykład problemowy, wykład z prezentacją multimedialną, metody kształcenia na odległość </w:t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Laboratorium: wykonywanie doświadczeń, projektowanie doświadczeń </w:t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METODY I KRYTERIA OCENY </w:t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4.1 Sposoby weryfikacji efektów uczenia się</w:t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952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958"/>
        <w:gridCol w:w="5447"/>
        <w:gridCol w:w="2115"/>
        <w:tblGridChange w:id="0">
          <w:tblGrid>
            <w:gridCol w:w="1958"/>
            <w:gridCol w:w="5447"/>
            <w:gridCol w:w="2115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Symbol efektu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Metody oceny efektów uczenia się</w:t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(np.: kolokwium, egzamin ustny, egzamin pisemny, projekt, sprawozdanie, obserwacja w trakcie zajęć)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Forma zajęć dydaktycznych </w:t>
            </w:r>
          </w:p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(w, ćw, …)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EK_01</w:t>
            </w:r>
          </w:p>
        </w:tc>
        <w:tc>
          <w:tcPr/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1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kolokwium/obserwacja w trakcie zajęć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wykład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EK_02</w:t>
            </w:r>
          </w:p>
        </w:tc>
        <w:tc>
          <w:tcPr/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obserwacja w trakcie zajęć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wykład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EK_03</w:t>
            </w:r>
          </w:p>
        </w:tc>
        <w:tc>
          <w:tcPr/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projekt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wykład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EK_04</w:t>
            </w:r>
          </w:p>
        </w:tc>
        <w:tc>
          <w:tcPr/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projekt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wykład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EK_05</w:t>
            </w:r>
          </w:p>
        </w:tc>
        <w:tc>
          <w:tcPr/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obserwacja w trakcie zajęć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wykład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EK_06</w:t>
            </w:r>
          </w:p>
        </w:tc>
        <w:tc>
          <w:tcPr/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egzamin pisemny/obserwacja w trakcie zajęć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wykład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EK_07</w:t>
            </w:r>
          </w:p>
        </w:tc>
        <w:tc>
          <w:tcPr/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kolokwium/projekt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wykład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EK_08</w:t>
            </w:r>
          </w:p>
        </w:tc>
        <w:tc>
          <w:tcPr/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obserwacja w trakcie zajęć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wykład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4.2 Warunki zaliczenia przedmiotu (kryteria oceniania) </w:t>
      </w:r>
    </w:p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52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520"/>
        <w:tblGridChange w:id="0">
          <w:tblGrid>
            <w:gridCol w:w="952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50 % - obecność na zajęciach</w:t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25% - aktywność podczas zajęć – ocena ciągła, oceny z samodzielnie przeprowadzonych zadań </w:t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25% - zaliczenie w postaci kolokwium po semestrze 5 lub egzamin podsumowujący po 6 semestrze </w:t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Minimum dla uzyskania zaliczenia stanowi 75 % ogólnej sumy punktów procentowych</w:t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hanging="284"/>
        <w:jc w:val="both"/>
        <w:rPr>
          <w:rFonts w:ascii="Corbel" w:cs="Corbel" w:eastAsia="Corbel" w:hAnsi="Corbe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hanging="284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 CAŁKOWITY NAKŁAD PRACY STUDENTA POTRZEBNY DO OSIĄGNIĘCIA ZAŁOŻONYCH EFEKTÓW W GODZINACH ORAZ PUNKTACH ECTS </w:t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952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902"/>
        <w:gridCol w:w="4618"/>
        <w:tblGridChange w:id="0">
          <w:tblGrid>
            <w:gridCol w:w="4902"/>
            <w:gridCol w:w="4618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Forma aktywności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Średnia liczba godzin na zrealizowanie aktywności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Godziny kontaktowe wynikające z harmonogramu studiów</w:t>
            </w:r>
          </w:p>
        </w:tc>
        <w:tc>
          <w:tcPr/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60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Inne z udziałem nauczyciela akademickiego</w:t>
            </w:r>
          </w:p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(udział w konsultacjach, egzaminie)</w:t>
            </w:r>
          </w:p>
        </w:tc>
        <w:tc>
          <w:tcPr/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Godziny niekontaktowe – praca własna studenta</w:t>
            </w:r>
          </w:p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(przygotowanie do zajęć, egzaminu, napisanie referatu itp.)</w:t>
            </w:r>
          </w:p>
        </w:tc>
        <w:tc>
          <w:tcPr/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5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SUMA GODZIN</w:t>
            </w:r>
          </w:p>
        </w:tc>
        <w:tc>
          <w:tcPr/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125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SUMARYCZNA LICZBA PUNKTÓW ECTS</w:t>
            </w:r>
          </w:p>
        </w:tc>
        <w:tc>
          <w:tcPr/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* Należy uwzględnić, że 1 pkt ECTS odpowiada 25-30 godzin całkowitego nakładu pracy studenta.</w:t>
      </w:r>
    </w:p>
    <w:p w:rsidR="00000000" w:rsidDel="00000000" w:rsidP="00000000" w:rsidRDefault="00000000" w:rsidRPr="00000000" w14:paraId="000000D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6. PRAKTYKI ZAWODOWE W RAMACH PRZEDMIOTU</w:t>
      </w:r>
    </w:p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7513.0" w:type="dxa"/>
        <w:jc w:val="left"/>
        <w:tblInd w:w="67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544"/>
        <w:gridCol w:w="3969"/>
        <w:tblGridChange w:id="0">
          <w:tblGrid>
            <w:gridCol w:w="3544"/>
            <w:gridCol w:w="3969"/>
          </w:tblGrid>
        </w:tblGridChange>
      </w:tblGrid>
      <w:tr>
        <w:trPr>
          <w:cantSplit w:val="0"/>
          <w:trHeight w:val="397" w:hRule="atLeast"/>
          <w:tblHeader w:val="0"/>
        </w:trPr>
        <w:tc>
          <w:tcPr/>
          <w:p w:rsidR="00000000" w:rsidDel="00000000" w:rsidP="00000000" w:rsidRDefault="00000000" w:rsidRPr="00000000" w14:paraId="000000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wymiar godzinowy</w:t>
            </w:r>
          </w:p>
        </w:tc>
        <w:tc>
          <w:tcPr/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/>
          <w:p w:rsidR="00000000" w:rsidDel="00000000" w:rsidP="00000000" w:rsidRDefault="00000000" w:rsidRPr="00000000" w14:paraId="000000D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zasady i formy odbywania praktyk </w:t>
            </w:r>
          </w:p>
        </w:tc>
        <w:tc>
          <w:tcPr/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7. LITERATURA </w:t>
      </w:r>
    </w:p>
    <w:p w:rsidR="00000000" w:rsidDel="00000000" w:rsidP="00000000" w:rsidRDefault="00000000" w:rsidRPr="00000000" w14:paraId="000000E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2"/>
        <w:tblW w:w="7513.0" w:type="dxa"/>
        <w:jc w:val="left"/>
        <w:tblInd w:w="67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513"/>
        <w:tblGridChange w:id="0">
          <w:tblGrid>
            <w:gridCol w:w="7513"/>
          </w:tblGrid>
        </w:tblGridChange>
      </w:tblGrid>
      <w:tr>
        <w:trPr>
          <w:cantSplit w:val="0"/>
          <w:trHeight w:val="397" w:hRule="atLeast"/>
          <w:tblHeader w:val="0"/>
        </w:trPr>
        <w:tc>
          <w:tcPr/>
          <w:p w:rsidR="00000000" w:rsidDel="00000000" w:rsidP="00000000" w:rsidRDefault="00000000" w:rsidRPr="00000000" w14:paraId="000000E1">
            <w:pPr>
              <w:spacing w:after="0" w:lineRule="auto"/>
              <w:rPr>
                <w:rFonts w:ascii="Corbel" w:cs="Corbel" w:eastAsia="Corbel" w:hAnsi="Corbel"/>
              </w:rPr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Literatura podstawowa: </w:t>
            </w:r>
          </w:p>
          <w:p w:rsidR="00000000" w:rsidDel="00000000" w:rsidP="00000000" w:rsidRDefault="00000000" w:rsidRPr="00000000" w14:paraId="000000E2">
            <w:pPr>
              <w:spacing w:after="0" w:lineRule="auto"/>
              <w:rPr>
                <w:rFonts w:ascii="Corbel" w:cs="Corbel" w:eastAsia="Corbel" w:hAnsi="Corbel"/>
              </w:rPr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Andrzej Schmidt, </w:t>
            </w:r>
            <w:r w:rsidDel="00000000" w:rsidR="00000000" w:rsidRPr="00000000">
              <w:rPr>
                <w:rFonts w:ascii="Corbel" w:cs="Corbel" w:eastAsia="Corbel" w:hAnsi="Corbel"/>
                <w:i w:val="1"/>
                <w:rtl w:val="0"/>
              </w:rPr>
              <w:t xml:space="preserve">Historia Jazzu,</w:t>
            </w: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 Polihymnia 2009; </w:t>
            </w:r>
          </w:p>
          <w:p w:rsidR="00000000" w:rsidDel="00000000" w:rsidP="00000000" w:rsidRDefault="00000000" w:rsidRPr="00000000" w14:paraId="000000E3">
            <w:pPr>
              <w:spacing w:after="0" w:lineRule="auto"/>
              <w:rPr>
                <w:rFonts w:ascii="Corbel" w:cs="Corbel" w:eastAsia="Corbel" w:hAnsi="Corbel"/>
              </w:rPr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Jacek Niedziela, </w:t>
            </w:r>
            <w:r w:rsidDel="00000000" w:rsidR="00000000" w:rsidRPr="00000000">
              <w:rPr>
                <w:rFonts w:ascii="Corbel" w:cs="Corbel" w:eastAsia="Corbel" w:hAnsi="Corbel"/>
                <w:i w:val="1"/>
                <w:rtl w:val="0"/>
              </w:rPr>
              <w:t xml:space="preserve">Historia Jazzu - 100 wykładów, </w:t>
            </w: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Dobre wydawnictwo.pl 2010</w:t>
            </w:r>
          </w:p>
          <w:p w:rsidR="00000000" w:rsidDel="00000000" w:rsidP="00000000" w:rsidRDefault="00000000" w:rsidRPr="00000000" w14:paraId="000000E4">
            <w:pPr>
              <w:spacing w:after="0" w:lineRule="auto"/>
              <w:rPr>
                <w:rFonts w:ascii="Corbel" w:cs="Corbel" w:eastAsia="Corbel" w:hAnsi="Corbe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5">
            <w:pPr>
              <w:spacing w:after="0" w:lineRule="auto"/>
              <w:rPr>
                <w:rFonts w:ascii="Corbel" w:cs="Corbel" w:eastAsia="Corbel" w:hAnsi="Corbel"/>
              </w:rPr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L.Crampton, D.Rees, </w:t>
            </w:r>
            <w:r w:rsidDel="00000000" w:rsidR="00000000" w:rsidRPr="00000000">
              <w:rPr>
                <w:rFonts w:ascii="Corbel" w:cs="Corbel" w:eastAsia="Corbel" w:hAnsi="Corbel"/>
                <w:i w:val="1"/>
                <w:rtl w:val="0"/>
              </w:rPr>
              <w:t xml:space="preserve">Rock&amp; Pop,</w:t>
            </w: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 Hachette Livre Polska,  sp.z o.o , Warszawa 2004</w:t>
            </w:r>
          </w:p>
          <w:p w:rsidR="00000000" w:rsidDel="00000000" w:rsidP="00000000" w:rsidRDefault="00000000" w:rsidRPr="00000000" w14:paraId="000000E6">
            <w:pPr>
              <w:spacing w:after="0" w:lineRule="auto"/>
              <w:rPr>
                <w:rFonts w:ascii="Corbel" w:cs="Corbel" w:eastAsia="Corbel" w:hAnsi="Corbel"/>
              </w:rPr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R. Wolański, </w:t>
            </w:r>
            <w:r w:rsidDel="00000000" w:rsidR="00000000" w:rsidRPr="00000000">
              <w:rPr>
                <w:rFonts w:ascii="Corbel" w:cs="Corbel" w:eastAsia="Corbel" w:hAnsi="Corbel"/>
                <w:i w:val="1"/>
                <w:rtl w:val="0"/>
              </w:rPr>
              <w:t xml:space="preserve">Leksykon polskiej muzyki rozrywkowej, tom I-III, </w:t>
            </w: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MTJ 2003</w:t>
            </w:r>
          </w:p>
          <w:p w:rsidR="00000000" w:rsidDel="00000000" w:rsidP="00000000" w:rsidRDefault="00000000" w:rsidRPr="00000000" w14:paraId="000000E7">
            <w:pPr>
              <w:spacing w:after="0" w:lineRule="auto"/>
              <w:rPr>
                <w:rFonts w:ascii="Corbel" w:cs="Corbel" w:eastAsia="Corbel" w:hAnsi="Corbel"/>
              </w:rPr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D. Michalski, </w:t>
            </w:r>
            <w:r w:rsidDel="00000000" w:rsidR="00000000" w:rsidRPr="00000000">
              <w:rPr>
                <w:rFonts w:ascii="Corbel" w:cs="Corbel" w:eastAsia="Corbel" w:hAnsi="Corbel"/>
                <w:i w:val="1"/>
                <w:rtl w:val="0"/>
              </w:rPr>
              <w:t xml:space="preserve">Piosenka przypomni Ci, </w:t>
            </w: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ISKRY 2010</w:t>
            </w:r>
          </w:p>
          <w:p w:rsidR="00000000" w:rsidDel="00000000" w:rsidP="00000000" w:rsidRDefault="00000000" w:rsidRPr="00000000" w14:paraId="000000E8">
            <w:pPr>
              <w:spacing w:after="0" w:lineRule="auto"/>
              <w:rPr>
                <w:rFonts w:ascii="Corbel" w:cs="Corbel" w:eastAsia="Corbel" w:hAnsi="Corbel"/>
              </w:rPr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H. Hancock, „</w:t>
            </w:r>
            <w:r w:rsidDel="00000000" w:rsidR="00000000" w:rsidRPr="00000000">
              <w:rPr>
                <w:rFonts w:ascii="Corbel" w:cs="Corbel" w:eastAsia="Corbel" w:hAnsi="Corbel"/>
                <w:i w:val="1"/>
                <w:rtl w:val="0"/>
              </w:rPr>
              <w:t xml:space="preserve">Possibilities” </w:t>
            </w: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Penguin Putnam Inc 2005</w:t>
            </w:r>
          </w:p>
          <w:p w:rsidR="00000000" w:rsidDel="00000000" w:rsidP="00000000" w:rsidRDefault="00000000" w:rsidRPr="00000000" w14:paraId="000000E9">
            <w:pPr>
              <w:spacing w:after="0" w:lineRule="auto"/>
              <w:rPr>
                <w:rFonts w:ascii="Corbel" w:cs="Corbel" w:eastAsia="Corbel" w:hAnsi="Corbe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/>
          <w:p w:rsidR="00000000" w:rsidDel="00000000" w:rsidP="00000000" w:rsidRDefault="00000000" w:rsidRPr="00000000" w14:paraId="000000E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Literatura uzupełniająca: </w:t>
            </w:r>
          </w:p>
          <w:p w:rsidR="00000000" w:rsidDel="00000000" w:rsidP="00000000" w:rsidRDefault="00000000" w:rsidRPr="00000000" w14:paraId="000000E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C">
            <w:pPr>
              <w:spacing w:after="0" w:lineRule="auto"/>
              <w:rPr>
                <w:rFonts w:ascii="Corbel" w:cs="Corbel" w:eastAsia="Corbel" w:hAnsi="Corbel"/>
              </w:rPr>
            </w:pPr>
            <w:r w:rsidDel="00000000" w:rsidR="00000000" w:rsidRPr="00000000">
              <w:rPr>
                <w:rFonts w:ascii="Corbel" w:cs="Corbel" w:eastAsia="Corbel" w:hAnsi="Corbel"/>
                <w:i w:val="1"/>
                <w:rtl w:val="0"/>
              </w:rPr>
              <w:t xml:space="preserve">Encyklopedia muzyki rozrywkowej</w:t>
            </w: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, red. W. Panek, Warszawa 2000</w:t>
            </w:r>
          </w:p>
          <w:p w:rsidR="00000000" w:rsidDel="00000000" w:rsidP="00000000" w:rsidRDefault="00000000" w:rsidRPr="00000000" w14:paraId="000000ED">
            <w:pPr>
              <w:spacing w:after="0" w:lineRule="auto"/>
              <w:rPr>
                <w:rFonts w:ascii="Corbel" w:cs="Corbel" w:eastAsia="Corbel" w:hAnsi="Corbel"/>
                <w:b w:val="1"/>
                <w:i w:val="1"/>
                <w:smallCaps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Akceptacja Kierownika Jednostki lub osoby upoważnionej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134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Georgia"/>
  <w:font w:name="MS Gothic"/>
  <w:font w:name="Corbel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F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upperLetter"/>
      <w:lvlText w:val="%1."/>
      <w:lvlJc w:val="left"/>
      <w:pPr>
        <w:ind w:left="1080" w:hanging="360"/>
      </w:pPr>
      <w:rPr/>
    </w:lvl>
    <w:lvl w:ilvl="1">
      <w:start w:val="1"/>
      <w:numFmt w:val="lowerLetter"/>
      <w:lvlText w:val="%2."/>
      <w:lvlJc w:val="left"/>
      <w:pPr>
        <w:ind w:left="1800" w:hanging="360"/>
      </w:pPr>
      <w:rPr/>
    </w:lvl>
    <w:lvl w:ilvl="2">
      <w:start w:val="1"/>
      <w:numFmt w:val="lowerRoman"/>
      <w:lvlText w:val="%3."/>
      <w:lvlJc w:val="right"/>
      <w:pPr>
        <w:ind w:left="2520" w:hanging="180"/>
      </w:pPr>
      <w:rPr/>
    </w:lvl>
    <w:lvl w:ilvl="3">
      <w:start w:val="1"/>
      <w:numFmt w:val="decimal"/>
      <w:lvlText w:val="%4."/>
      <w:lvlJc w:val="left"/>
      <w:pPr>
        <w:ind w:left="3240" w:hanging="360"/>
      </w:pPr>
      <w:rPr/>
    </w:lvl>
    <w:lvl w:ilvl="4">
      <w:start w:val="1"/>
      <w:numFmt w:val="lowerLetter"/>
      <w:lvlText w:val="%5."/>
      <w:lvlJc w:val="left"/>
      <w:pPr>
        <w:ind w:left="3960" w:hanging="360"/>
      </w:pPr>
      <w:rPr/>
    </w:lvl>
    <w:lvl w:ilvl="5">
      <w:start w:val="1"/>
      <w:numFmt w:val="lowerRoman"/>
      <w:lvlText w:val="%6."/>
      <w:lvlJc w:val="right"/>
      <w:pPr>
        <w:ind w:left="4680" w:hanging="180"/>
      </w:pPr>
      <w:rPr/>
    </w:lvl>
    <w:lvl w:ilvl="6">
      <w:start w:val="1"/>
      <w:numFmt w:val="decimal"/>
      <w:lvlText w:val="%7."/>
      <w:lvlJc w:val="left"/>
      <w:pPr>
        <w:ind w:left="5400" w:hanging="360"/>
      </w:pPr>
      <w:rPr/>
    </w:lvl>
    <w:lvl w:ilvl="7">
      <w:start w:val="1"/>
      <w:numFmt w:val="lowerLetter"/>
      <w:lvlText w:val="%8."/>
      <w:lvlJc w:val="left"/>
      <w:pPr>
        <w:ind w:left="6120" w:hanging="360"/>
      </w:pPr>
      <w:rPr/>
    </w:lvl>
    <w:lvl w:ilvl="8">
      <w:start w:val="1"/>
      <w:numFmt w:val="lowerRoman"/>
      <w:lvlText w:val="%9."/>
      <w:lvlJc w:val="right"/>
      <w:pPr>
        <w:ind w:left="684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-PL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spacing w:after="0" w:line="240" w:lineRule="auto"/>
      <w:jc w:val="center"/>
    </w:pPr>
    <w:rPr>
      <w:rFonts w:ascii="Times New Roman" w:cs="Times New Roman" w:eastAsia="Times New Roman" w:hAnsi="Times New Roman"/>
      <w:b w:val="1"/>
      <w:sz w:val="24"/>
      <w:szCs w:val="24"/>
    </w:rPr>
  </w:style>
  <w:style w:type="paragraph" w:styleId="Normalny" w:default="1">
    <w:name w:val="Normal"/>
    <w:qFormat w:val="1"/>
    <w:rsid w:val="00455FD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paragraph" w:styleId="Akapitzlist">
    <w:name w:val="List Paragraph"/>
    <w:basedOn w:val="Normalny"/>
    <w:uiPriority w:val="34"/>
    <w:qFormat w:val="1"/>
    <w:rsid w:val="00BD66E9"/>
    <w:pPr>
      <w:ind w:left="720"/>
      <w:contextualSpacing w:val="1"/>
    </w:pPr>
  </w:style>
  <w:style w:type="paragraph" w:styleId="Tytu">
    <w:name w:val="Title"/>
    <w:basedOn w:val="Normalny"/>
    <w:link w:val="TytuZnak"/>
    <w:qFormat w:val="1"/>
    <w:rsid w:val="00BD66E9"/>
    <w:pPr>
      <w:spacing w:after="0" w:line="240" w:lineRule="auto"/>
      <w:jc w:val="center"/>
    </w:pPr>
    <w:rPr>
      <w:rFonts w:ascii="Times New Roman" w:eastAsia="Times New Roman" w:hAnsi="Times New Roman"/>
      <w:b w:val="1"/>
      <w:bCs w:val="1"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 w:val="1"/>
      <w:bCs w:val="1"/>
      <w:lang w:eastAsia="pl-PL"/>
    </w:rPr>
  </w:style>
  <w:style w:type="paragraph" w:styleId="Tekstdymka">
    <w:name w:val="Balloon Text"/>
    <w:basedOn w:val="Normalny"/>
    <w:link w:val="TekstdymkaZnak"/>
    <w:uiPriority w:val="99"/>
    <w:semiHidden w:val="1"/>
    <w:unhideWhenUsed w:val="1"/>
    <w:rsid w:val="00CF78ED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 w:val="1"/>
    <w:rsid w:val="00CF78ED"/>
    <w:rPr>
      <w:rFonts w:ascii="Tahoma" w:cs="Tahoma" w:eastAsia="Calibri" w:hAnsi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 w:val="1"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 w:val="1"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 w:val="1"/>
    <w:unhideWhenUsed w:val="1"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 w:val="1"/>
    <w:rsid w:val="0085747A"/>
    <w:rPr>
      <w:rFonts w:ascii="Calibri" w:cs="Times New Roman" w:hAnsi="Calibri"/>
      <w:sz w:val="20"/>
      <w:szCs w:val="20"/>
    </w:rPr>
  </w:style>
  <w:style w:type="character" w:styleId="Odwoanieprzypisudolnego">
    <w:name w:val="footnote reference"/>
    <w:uiPriority w:val="99"/>
    <w:semiHidden w:val="1"/>
    <w:unhideWhenUsed w:val="1"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unktygwne" w:customStyle="1">
    <w:name w:val="Punkty główne"/>
    <w:basedOn w:val="Normalny"/>
    <w:rsid w:val="0085747A"/>
    <w:pPr>
      <w:spacing w:after="60" w:before="240" w:line="240" w:lineRule="auto"/>
    </w:pPr>
    <w:rPr>
      <w:rFonts w:ascii="Times New Roman" w:hAnsi="Times New Roman"/>
      <w:b w:val="1"/>
      <w:smallCaps w:val="1"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after="40" w:before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after="40" w:before="40" w:line="240" w:lineRule="auto"/>
    </w:pPr>
    <w:rPr>
      <w:rFonts w:ascii="Times New Roman" w:hAnsi="Times New Roman"/>
      <w:b w:val="1"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 w:val="1"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after="0" w:before="12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40" w:before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 w:val="1"/>
    <w:unhideWhenUsed w:val="1"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 w:val="1"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 w:val="1"/>
    <w:rsid w:val="0085747A"/>
  </w:style>
  <w:style w:type="character" w:styleId="Hipercze">
    <w:name w:val="Hyperlink"/>
    <w:uiPriority w:val="99"/>
    <w:unhideWhenUsed w:val="1"/>
    <w:rsid w:val="00B819C8"/>
    <w:rPr>
      <w:color w:val="0000ff"/>
      <w:u w:val="single"/>
    </w:rPr>
  </w:style>
  <w:style w:type="paragraph" w:styleId="Bezodstpw">
    <w:name w:val="No Spacing"/>
    <w:uiPriority w:val="1"/>
    <w:qFormat w:val="1"/>
    <w:rsid w:val="00C61DC5"/>
    <w:rPr>
      <w:rFonts w:ascii="Calibri" w:hAnsi="Calibri"/>
      <w:sz w:val="22"/>
      <w:szCs w:val="22"/>
      <w:lang w:eastAsia="en-U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orbel-regular.ttf"/><Relationship Id="rId2" Type="http://schemas.openxmlformats.org/officeDocument/2006/relationships/font" Target="fonts/Corbel-bold.ttf"/><Relationship Id="rId3" Type="http://schemas.openxmlformats.org/officeDocument/2006/relationships/font" Target="fonts/Corbel-italic.ttf"/><Relationship Id="rId4" Type="http://schemas.openxmlformats.org/officeDocument/2006/relationships/font" Target="fonts/Corbel-boldItalic.tt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XZ2DA7tIGc5+kJ00oilXVPjP1rQ==">CgMxLjA4AHIhMUxiYXV2dXZmanNMWm1LRFFuZG9DWnNFQjNQa2c4dzM1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2020-09-30T09:43:00Z</dcterms:created>
  <dc:creator>User</dc:creator>
</cp:coreProperties>
</file>